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8D4E5E" w14:textId="63ACC724" w:rsidR="00837C0B" w:rsidRPr="00837C0B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28A517E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>
        <w:rPr>
          <w:rFonts w:ascii="Arial" w:hAnsi="Arial" w:cs="Arial"/>
          <w:b/>
          <w:color w:val="auto"/>
          <w:sz w:val="24"/>
          <w:szCs w:val="24"/>
        </w:rPr>
        <w:t>I</w:t>
      </w:r>
      <w:r w:rsidR="00A023DA">
        <w:rPr>
          <w:rFonts w:ascii="Arial" w:hAnsi="Arial" w:cs="Arial"/>
          <w:b/>
          <w:color w:val="auto"/>
          <w:sz w:val="24"/>
          <w:szCs w:val="24"/>
        </w:rPr>
        <w:t>V</w:t>
      </w:r>
      <w:r w:rsidR="000C747B">
        <w:rPr>
          <w:rFonts w:ascii="Arial" w:hAnsi="Arial" w:cs="Arial"/>
          <w:b/>
          <w:color w:val="auto"/>
          <w:sz w:val="24"/>
          <w:szCs w:val="24"/>
        </w:rPr>
        <w:t xml:space="preserve"> kwartał 2019</w:t>
      </w:r>
      <w:r w:rsidR="00837C0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AD52685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837C0B" w:rsidRPr="00837C0B">
              <w:rPr>
                <w:rFonts w:ascii="Arial" w:hAnsi="Arial" w:cs="Arial"/>
                <w:sz w:val="18"/>
                <w:szCs w:val="18"/>
              </w:rPr>
              <w:t xml:space="preserve"> Edukacji Narodowej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77777777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.,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ul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. 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Puławska 469, 02-844 Warszawa, NIP: 527 260 57 31; REGON: 141893000; 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0D311281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część 30, dział 80145,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6483F288" w:rsidR="009205F9" w:rsidRDefault="00346C5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Pr="00E43B4D">
              <w:rPr>
                <w:rFonts w:ascii="Arial" w:hAnsi="Arial" w:cs="Arial"/>
                <w:sz w:val="18"/>
                <w:szCs w:val="18"/>
              </w:rPr>
              <w:t>zł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47D2EACB" w:rsidR="00907F6D" w:rsidRPr="00141A92" w:rsidRDefault="00A023DA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33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6DCD6584" w:rsidR="002B37ED" w:rsidRPr="007D43EC" w:rsidRDefault="001D24A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15,20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198B5D2C" w14:textId="0590D6FD" w:rsidR="00C3655F" w:rsidRDefault="008E59E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 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>9,9</w:t>
            </w: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C116926" w14:textId="3EF650A1" w:rsidR="007D43EC" w:rsidRPr="007D43EC" w:rsidRDefault="008E59E2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15,14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4929DAC9" w14:textId="7F0895D2" w:rsidR="00907F6D" w:rsidRPr="007B753D" w:rsidRDefault="00907F6D" w:rsidP="002B37ED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3289" w:type="dxa"/>
          </w:tcPr>
          <w:p w14:paraId="0FB7E3DF" w14:textId="6DB1FFD1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69,13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81623" w14:textId="77777777" w:rsidR="004350B8" w:rsidRDefault="009F1D41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57C75237" w14:textId="77777777" w:rsidR="00185F32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D6E6DFE" w14:textId="4E276129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AB2F9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7F7881BB" w14:textId="2321D7C3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  <w:r w:rsidR="00185F32"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237F89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77777777" w:rsidR="00880AB5" w:rsidRDefault="009F1D41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1FFF680E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9265D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69D9411" w14:textId="3048DF5F" w:rsidR="009265D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="009265D2" w:rsidRPr="009265D2">
              <w:rPr>
                <w:rFonts w:ascii="Arial" w:hAnsi="Arial" w:cs="Arial"/>
                <w:sz w:val="18"/>
                <w:szCs w:val="18"/>
              </w:rPr>
              <w:t>lowa: 1</w:t>
            </w: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5B230001" w14:textId="0872E0C0" w:rsidR="00880AB5" w:rsidRPr="00153738" w:rsidRDefault="00880AB5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A241BB6" w14:textId="77777777" w:rsidR="00880AB5" w:rsidRDefault="002E5459" w:rsidP="00FC04F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68C419FA" w14:textId="3EFFBC84" w:rsidR="002E5459" w:rsidRPr="00153738" w:rsidRDefault="002E5459" w:rsidP="00904B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Opracowano modyfikację projektu, w której dostosowano harmonogram oddawania poszczególnych funkcjonalności KSDO do kalendarza egzaminów zewnętrznych oraz zaplanowano dodatkowe, oczekiwane przez użytkowników z CKE oraz OKE funkcjonalności systemu</w:t>
            </w:r>
            <w:r w:rsidR="005E06C4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związane z obsługą egzaminów ogólnokształcących.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4192" w14:textId="77777777" w:rsidR="009265D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9265D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3EA559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D6C08BF" w14:textId="35561A60" w:rsidR="007B0E13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7AF5E00B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FC3EF54" w14:textId="086C6F01" w:rsidR="004C174F" w:rsidRDefault="004C174F" w:rsidP="004C174F">
            <w:pPr>
              <w:rPr>
                <w:rFonts w:ascii="Arial" w:hAnsi="Arial" w:cs="Arial"/>
                <w:sz w:val="18"/>
                <w:szCs w:val="18"/>
              </w:rPr>
            </w:pPr>
            <w:r w:rsidRPr="004C174F">
              <w:rPr>
                <w:rFonts w:ascii="Arial" w:hAnsi="Arial" w:cs="Arial"/>
                <w:sz w:val="18"/>
                <w:szCs w:val="18"/>
              </w:rPr>
              <w:t>W trakcie realizacji.</w:t>
            </w:r>
          </w:p>
          <w:p w14:paraId="2227CA5F" w14:textId="6086C3B6" w:rsidR="005E06C4" w:rsidRPr="005E06C4" w:rsidRDefault="005E06C4" w:rsidP="005E06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 07.2019 r. trwają prace związane z </w:t>
            </w:r>
            <w:r w:rsidRPr="005E06C4">
              <w:rPr>
                <w:rFonts w:ascii="Arial" w:hAnsi="Arial" w:cs="Arial"/>
                <w:sz w:val="18"/>
                <w:szCs w:val="18"/>
              </w:rPr>
              <w:t>uzgodnieniem i przygotowaniem modelu migrowanych danych.</w:t>
            </w:r>
          </w:p>
          <w:p w14:paraId="1D1B2D52" w14:textId="5E6A63A6" w:rsidR="007B0E13" w:rsidRPr="00153738" w:rsidRDefault="005E06C4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5E06C4">
              <w:rPr>
                <w:rFonts w:ascii="Arial" w:hAnsi="Arial" w:cs="Arial"/>
                <w:sz w:val="18"/>
                <w:szCs w:val="18"/>
              </w:rPr>
              <w:t xml:space="preserve">Dostosowano harmonogram prac do obowiązującego kalendarza egzaminów maturalnych </w:t>
            </w:r>
            <w:r w:rsidRPr="005E06C4">
              <w:rPr>
                <w:rFonts w:ascii="Arial" w:hAnsi="Arial" w:cs="Arial"/>
                <w:sz w:val="18"/>
                <w:szCs w:val="18"/>
              </w:rPr>
              <w:lastRenderedPageBreak/>
              <w:t>w roku 2020 i 2021.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Zmiana terminu wykonania zadania wynika z 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późniejsze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go zawarcia</w:t>
            </w:r>
            <w:r w:rsidR="00904B8C" w:rsidRPr="00FB1EFF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 xml:space="preserve"> umowy na zapewnienie docelowej infrastruktury produkcyjnej KSDO</w:t>
            </w:r>
            <w:r w:rsidR="00904B8C">
              <w:rPr>
                <w:rFonts w:ascii="Verdana" w:hAnsi="Verdana" w:cs="Arial"/>
                <w:bCs/>
                <w:sz w:val="18"/>
                <w:szCs w:val="18"/>
                <w:lang w:eastAsia="pl-PL"/>
              </w:rPr>
              <w:t>.</w:t>
            </w:r>
            <w:r w:rsidR="00904B8C">
              <w:rPr>
                <w:rStyle w:val="TekstdymkaZnak"/>
              </w:rPr>
              <w:t xml:space="preserve"> 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C9B3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2E3358C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9E174FE" w14:textId="776543B4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61649DF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233AC018" w14:textId="6D854713" w:rsidR="007B0E13" w:rsidRPr="00153738" w:rsidRDefault="007B0E13" w:rsidP="007A69A4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5374933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30EDF985" w14:textId="1F406A35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1</w:t>
            </w: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607C54AA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1EAC3FC1" w14:textId="2D04A0CF" w:rsidR="007B0E13" w:rsidRPr="00153738" w:rsidRDefault="007B0E13" w:rsidP="000C747B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3899F1" w14:textId="0281ECA9" w:rsidR="007B0E13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1EE8AD72" w14:textId="77777777" w:rsidR="00185F3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F79E542" w14:textId="2E0C0A02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2ED806C3" w14:textId="77777777" w:rsidR="009265D2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759A3E5F" w14:textId="77777777" w:rsidR="00185F3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1DDED77B" w14:textId="61C8F635" w:rsidR="009265D2" w:rsidRDefault="009265D2" w:rsidP="009265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605967E2" w14:textId="37BB7D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599F73F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0A077F3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systemów, w tym do obsługi egzaminów zawodo</w:t>
            </w:r>
            <w:r>
              <w:rPr>
                <w:rFonts w:ascii="Arial" w:hAnsi="Arial" w:cs="Arial"/>
                <w:sz w:val="18"/>
                <w:szCs w:val="18"/>
              </w:rPr>
              <w:t>wych.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C12CD" w14:textId="53D2F712" w:rsidR="00185F32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0BC6DE23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185F32"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5F5D61D4" w14:textId="0AEC25EA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</w:t>
            </w:r>
            <w:r w:rsidRPr="00185F32">
              <w:rPr>
                <w:rFonts w:ascii="Arial" w:hAnsi="Arial" w:cs="Arial"/>
                <w:sz w:val="18"/>
                <w:szCs w:val="18"/>
              </w:rPr>
              <w:t>lowa: 1</w:t>
            </w:r>
          </w:p>
          <w:p w14:paraId="298824D0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0A17A2B0" w14:textId="77777777" w:rsidR="00185F32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6920CE2" w14:textId="16B71440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1EAF01C2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77777777" w:rsidR="007B0E13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77777777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AF0E722" w14:textId="3AE32919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764373"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0C711F12" w:rsidR="000E20F0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0D680A0D" w14:textId="476B1A03" w:rsidR="009F1DC8" w:rsidRPr="00153738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74A25480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67FCFF9F" w14:textId="156C25D9" w:rsidR="006A60AA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153738" w:rsidRDefault="00B16C8B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908EA3D" w14:textId="0AB32E10" w:rsidR="006A60AA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F1C84" w:rsidRPr="002B50C0" w14:paraId="4905347A" w14:textId="77777777" w:rsidTr="00047D9D">
        <w:tc>
          <w:tcPr>
            <w:tcW w:w="2545" w:type="dxa"/>
          </w:tcPr>
          <w:p w14:paraId="149381F7" w14:textId="411687F7" w:rsidR="006F1C84" w:rsidRPr="00153738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sz w:val="18"/>
                <w:szCs w:val="18"/>
                <w:lang w:val="pl-PL" w:eastAsia="pl-PL"/>
              </w:rPr>
            </w:pPr>
            <w:r w:rsidRPr="00B16C8B">
              <w:rPr>
                <w:rFonts w:cs="Arial"/>
                <w:sz w:val="18"/>
                <w:szCs w:val="18"/>
                <w:lang w:val="pl-PL" w:eastAsia="pl-PL"/>
              </w:rPr>
              <w:t>Liczba baz danych systemu oświaty zintegrowanych w ramach wdrożonego produkcyjnie systemu na koniec pro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jektu.</w:t>
            </w:r>
          </w:p>
        </w:tc>
        <w:tc>
          <w:tcPr>
            <w:tcW w:w="1278" w:type="dxa"/>
          </w:tcPr>
          <w:p w14:paraId="79EDA703" w14:textId="77EB51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sztuka</w:t>
            </w:r>
          </w:p>
        </w:tc>
        <w:tc>
          <w:tcPr>
            <w:tcW w:w="1842" w:type="dxa"/>
          </w:tcPr>
          <w:p w14:paraId="2D2D0677" w14:textId="1995B82A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153738" w:rsidRDefault="00B16C8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12CE3BB3" w:rsidR="00B16C8B" w:rsidRDefault="00514F6F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</w:t>
            </w:r>
          </w:p>
          <w:p w14:paraId="331F0B67" w14:textId="0A8796AC" w:rsidR="005439E4" w:rsidRPr="00153738" w:rsidRDefault="005439E4" w:rsidP="00B16C8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F1C84" w:rsidRPr="002B50C0" w14:paraId="1B35A324" w14:textId="77777777" w:rsidTr="00047D9D">
        <w:tc>
          <w:tcPr>
            <w:tcW w:w="2545" w:type="dxa"/>
          </w:tcPr>
          <w:p w14:paraId="5FA27441" w14:textId="3A3D0480" w:rsidR="006F1C84" w:rsidRPr="00153738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sz w:val="18"/>
                <w:szCs w:val="18"/>
                <w:lang w:val="pl-PL" w:eastAsia="pl-PL"/>
              </w:rPr>
            </w:pPr>
            <w:r w:rsidRPr="00153738">
              <w:rPr>
                <w:rFonts w:cs="Arial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>,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 xml:space="preserve"> umożliwiających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="00B16C8B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zmiany systemu po zakończeniu realizacji projektu</w:t>
            </w:r>
            <w:r w:rsidRPr="00153738">
              <w:rPr>
                <w:rFonts w:cs="Arial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488898E6" w:rsidR="006F1C84" w:rsidRPr="00153738" w:rsidRDefault="006F1C84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153738">
              <w:rPr>
                <w:rFonts w:ascii="Arial" w:hAnsi="Arial" w:cs="Arial"/>
                <w:sz w:val="18"/>
                <w:szCs w:val="18"/>
              </w:rPr>
              <w:lastRenderedPageBreak/>
              <w:t>sztuka</w:t>
            </w:r>
          </w:p>
        </w:tc>
        <w:tc>
          <w:tcPr>
            <w:tcW w:w="1842" w:type="dxa"/>
          </w:tcPr>
          <w:p w14:paraId="5EFC822A" w14:textId="4AECF760" w:rsidR="006F1C84" w:rsidRPr="00153738" w:rsidRDefault="00B16C8B" w:rsidP="00B16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153738" w:rsidRDefault="00514F6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153738" w:rsidRDefault="006F1C8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153738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EAC02FB" w14:textId="77777777" w:rsidR="00B501BE" w:rsidRDefault="00CE1D6C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Pierwszy pomiar </w:t>
            </w:r>
          </w:p>
          <w:p w14:paraId="4959F5C0" w14:textId="767DDC6D" w:rsidR="006F1C84" w:rsidRPr="00153738" w:rsidRDefault="00B501BE" w:rsidP="006F1C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07.</w:t>
            </w:r>
            <w:r w:rsidR="00CE1D6C">
              <w:rPr>
                <w:rFonts w:ascii="Arial" w:hAnsi="Arial" w:cs="Arial"/>
                <w:sz w:val="18"/>
                <w:szCs w:val="20"/>
              </w:rPr>
              <w:t xml:space="preserve">2021 tj. 6-m-cy przed zakończeniem realizacji </w:t>
            </w:r>
            <w:r w:rsidR="00CE1D6C">
              <w:rPr>
                <w:rFonts w:ascii="Arial" w:hAnsi="Arial" w:cs="Arial"/>
                <w:sz w:val="18"/>
                <w:szCs w:val="20"/>
              </w:rPr>
              <w:lastRenderedPageBreak/>
              <w:t>projektu. Aktualizacja dokumentacji 12.2021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7D38BD" w:rsidRPr="002B50C0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066D88A5" w14:textId="77777777" w:rsidTr="000E509F">
        <w:tc>
          <w:tcPr>
            <w:tcW w:w="2811" w:type="dxa"/>
          </w:tcPr>
          <w:p w14:paraId="21262D83" w14:textId="015F4BD2" w:rsidR="00630E67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Publikacja wyników z egzaminów zewnętrznych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016C9765" w14:textId="1598337F" w:rsidR="007D38BD" w:rsidRPr="00153738" w:rsidRDefault="00207AAE" w:rsidP="00FC1E51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45BD11C3" w:rsidR="007D38BD" w:rsidRPr="00153738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5CFEB1E5" w14:textId="66BC3EB3" w:rsidR="00630E67" w:rsidRPr="00153738" w:rsidRDefault="00FC1E51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A2C</w:t>
            </w:r>
          </w:p>
          <w:p w14:paraId="7DE99E5E" w14:textId="17FC03A9" w:rsidR="007D38BD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Zdający – publikacja wyników szczegółowych z egzaminu, wysyłanie </w:t>
            </w:r>
            <w:r>
              <w:rPr>
                <w:rFonts w:ascii="Arial" w:hAnsi="Arial" w:cs="Arial"/>
                <w:sz w:val="18"/>
                <w:szCs w:val="20"/>
              </w:rPr>
              <w:t>elektronicznych wniosków do OKE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(rocznie ok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sz w:val="18"/>
                <w:szCs w:val="20"/>
              </w:rPr>
              <w:t xml:space="preserve"> 3 milionów).  </w:t>
            </w:r>
          </w:p>
        </w:tc>
      </w:tr>
      <w:tr w:rsidR="005235FA" w:rsidRPr="00153738" w14:paraId="44497920" w14:textId="77777777" w:rsidTr="000E509F">
        <w:tc>
          <w:tcPr>
            <w:tcW w:w="2811" w:type="dxa"/>
          </w:tcPr>
          <w:p w14:paraId="53EADCF3" w14:textId="39BFE65A" w:rsidR="005235FA" w:rsidRPr="00153738" w:rsidRDefault="00FC1E51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>Formularze wewnątrz komponentu</w:t>
            </w:r>
            <w:r>
              <w:rPr>
                <w:rFonts w:ascii="Arial" w:hAnsi="Arial" w:cs="Arial"/>
                <w:sz w:val="18"/>
                <w:szCs w:val="20"/>
              </w:rPr>
              <w:t xml:space="preserve"> Krajowego Systemu Danych Oświatowych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(KSDO)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Default="000E509F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C3BE003" w14:textId="77777777" w:rsidR="00FC1E51" w:rsidRPr="00FC1E51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2410AD5" w14:textId="0D81D595" w:rsidR="005235FA" w:rsidRPr="00153738" w:rsidRDefault="00FC1E51" w:rsidP="00FC1E51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FC1E51">
              <w:rPr>
                <w:rFonts w:ascii="Arial" w:hAnsi="Arial" w:cs="Arial"/>
                <w:bCs/>
                <w:sz w:val="18"/>
                <w:szCs w:val="20"/>
              </w:rPr>
              <w:t>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FC1E51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4151860D" w14:textId="77777777" w:rsidTr="000E509F">
        <w:tc>
          <w:tcPr>
            <w:tcW w:w="2811" w:type="dxa"/>
          </w:tcPr>
          <w:p w14:paraId="40ECF3F2" w14:textId="60B855EB" w:rsidR="00FC1E51" w:rsidRPr="00FC1E51" w:rsidRDefault="00FC1E51" w:rsidP="00FC1E51">
            <w:pPr>
              <w:rPr>
                <w:rFonts w:ascii="Arial" w:hAnsi="Arial" w:cs="Arial"/>
                <w:sz w:val="18"/>
                <w:szCs w:val="20"/>
              </w:rPr>
            </w:pPr>
            <w:r w:rsidRPr="00FC1E51">
              <w:rPr>
                <w:rFonts w:ascii="Arial" w:hAnsi="Arial" w:cs="Arial"/>
                <w:sz w:val="18"/>
                <w:szCs w:val="20"/>
              </w:rPr>
              <w:t xml:space="preserve">Formularze </w:t>
            </w:r>
            <w:r>
              <w:rPr>
                <w:rFonts w:ascii="Arial" w:hAnsi="Arial" w:cs="Arial"/>
                <w:sz w:val="18"/>
                <w:szCs w:val="20"/>
              </w:rPr>
              <w:t>i a</w:t>
            </w:r>
            <w:r w:rsidRPr="00FC1E51">
              <w:rPr>
                <w:rFonts w:ascii="Arial" w:hAnsi="Arial" w:cs="Arial"/>
                <w:sz w:val="18"/>
                <w:szCs w:val="20"/>
              </w:rPr>
              <w:t>nkiety wewnątrz komponentu</w:t>
            </w:r>
            <w:r w:rsidR="000E509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0E509F" w:rsidRPr="000E509F">
              <w:rPr>
                <w:rFonts w:ascii="Arial" w:hAnsi="Arial" w:cs="Arial"/>
                <w:sz w:val="18"/>
                <w:szCs w:val="20"/>
              </w:rPr>
              <w:t>(KSDO).</w:t>
            </w:r>
          </w:p>
          <w:p w14:paraId="5E91D20A" w14:textId="38884D70" w:rsidR="005235FA" w:rsidRPr="00153738" w:rsidRDefault="005235FA" w:rsidP="00FC1E51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0E509F" w:rsidRDefault="00207AAE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6BA202C7" w14:textId="7B3C6FEF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instytucji realizujących zadania oświatowe (pracownicy Kuratorium Oświaty, JST, Dyrektorzy szkół, Pracownicy OKE, CKE, CIE, MEN) (rocznie ok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Pr="000E509F">
              <w:rPr>
                <w:rFonts w:ascii="Arial" w:hAnsi="Arial" w:cs="Arial"/>
                <w:bCs/>
                <w:sz w:val="18"/>
                <w:szCs w:val="20"/>
              </w:rPr>
              <w:t xml:space="preserve"> 50 tys.)</w:t>
            </w:r>
          </w:p>
        </w:tc>
      </w:tr>
      <w:tr w:rsidR="005235FA" w:rsidRPr="00153738" w14:paraId="2AA0A7FF" w14:textId="77777777" w:rsidTr="000E509F">
        <w:tc>
          <w:tcPr>
            <w:tcW w:w="2811" w:type="dxa"/>
          </w:tcPr>
          <w:p w14:paraId="6F908101" w14:textId="2769634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podmiotów wprowadzanych przez JST i Dyrektorów Podmiotów w SIO do KSDO_SIOEO, NPSEO</w:t>
            </w:r>
            <w:r>
              <w:rPr>
                <w:rFonts w:ascii="Arial" w:hAnsi="Arial" w:cs="Arial"/>
                <w:sz w:val="18"/>
                <w:szCs w:val="20"/>
              </w:rPr>
              <w:t xml:space="preserve"> i</w:t>
            </w:r>
            <w:r w:rsidR="00084207">
              <w:rPr>
                <w:rFonts w:ascii="Arial" w:hAnsi="Arial" w:cs="Arial"/>
                <w:sz w:val="18"/>
                <w:szCs w:val="20"/>
              </w:rPr>
              <w:t xml:space="preserve"> innych integrowanych w zakresie</w:t>
            </w:r>
            <w:r>
              <w:rPr>
                <w:rFonts w:ascii="Arial" w:hAnsi="Arial" w:cs="Arial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</w:tcPr>
          <w:p w14:paraId="15B1ECDD" w14:textId="35A6BF94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763EC85C" w14:textId="54391502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441311DA" w14:textId="407CFE32" w:rsidR="005235FA" w:rsidRPr="00153738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Kuratorium Oświaty, realizujący zadania z zakresu ewaluacji oświaty. Pracownicy OKE, realizujący zadania z zakresu obsługi eg</w:t>
            </w:r>
            <w:r>
              <w:rPr>
                <w:rFonts w:ascii="Arial" w:hAnsi="Arial" w:cs="Arial"/>
                <w:bCs/>
                <w:sz w:val="18"/>
                <w:szCs w:val="20"/>
              </w:rPr>
              <w:t>zaminów ogólnokształcących.</w:t>
            </w:r>
          </w:p>
        </w:tc>
      </w:tr>
      <w:tr w:rsidR="005235FA" w:rsidRPr="00153738" w14:paraId="4C755385" w14:textId="77777777" w:rsidTr="000E509F">
        <w:tc>
          <w:tcPr>
            <w:tcW w:w="2811" w:type="dxa"/>
          </w:tcPr>
          <w:p w14:paraId="2ABCC7C4" w14:textId="71D1E2E6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Propagacja danych wyników egzaminów wprowadzanych przez OKE w KSDO_SIOEO i SIOEPKZ do ZIU Zdający, SIO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274876A2" w14:textId="59105EEA" w:rsidR="005235FA" w:rsidRPr="000E509F" w:rsidRDefault="000E509F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21FBE2D2" w14:textId="77777777" w:rsidR="005235FA" w:rsidRDefault="005235FA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67" w:type="dxa"/>
          </w:tcPr>
          <w:p w14:paraId="2CE7E0F8" w14:textId="779383A7" w:rsidR="000E509F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52B2D653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Pracownicy MEN, CIE, Zdający</w:t>
            </w:r>
            <w:r>
              <w:rPr>
                <w:rFonts w:ascii="Arial" w:hAnsi="Arial" w:cs="Arial"/>
                <w:bCs/>
                <w:sz w:val="18"/>
                <w:szCs w:val="20"/>
              </w:rPr>
              <w:t>.</w:t>
            </w:r>
          </w:p>
          <w:p w14:paraId="158520B8" w14:textId="77777777" w:rsidR="000E509F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06.2019 – egzamin ósmoklasisty</w:t>
            </w:r>
          </w:p>
          <w:p w14:paraId="08719FEB" w14:textId="77777777" w:rsidR="000E10EA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06.2021 – egzaminy zawodowe</w:t>
            </w:r>
          </w:p>
        </w:tc>
      </w:tr>
      <w:tr w:rsidR="005235FA" w:rsidRPr="00153738" w14:paraId="05ED6989" w14:textId="77777777" w:rsidTr="000E509F">
        <w:tc>
          <w:tcPr>
            <w:tcW w:w="2811" w:type="dxa"/>
          </w:tcPr>
          <w:p w14:paraId="4C11F1A1" w14:textId="0A10AC0D" w:rsidR="005235FA" w:rsidRPr="00153738" w:rsidRDefault="000E509F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09F">
              <w:rPr>
                <w:rFonts w:ascii="Arial" w:hAnsi="Arial" w:cs="Arial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0E509F" w:rsidRDefault="000E10EA" w:rsidP="007B0E13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  <w:r w:rsidR="007B0E13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Default="007B37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Default="000E509F" w:rsidP="000E509F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A2A</w:t>
            </w:r>
          </w:p>
          <w:p w14:paraId="7701F0CA" w14:textId="77777777" w:rsidR="005235FA" w:rsidRDefault="000E509F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 w:rsidRPr="000E509F">
              <w:rPr>
                <w:rFonts w:ascii="Arial" w:hAnsi="Arial" w:cs="Arial"/>
                <w:bCs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153738" w:rsidRDefault="000E10EA" w:rsidP="00C1106C">
            <w:pPr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153738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53738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53738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53738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53738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153738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153738" w:rsidRPr="00153738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53738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53738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53738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53738" w:rsidRPr="00153738" w14:paraId="153EA8F3" w14:textId="77777777" w:rsidTr="00C6751B">
        <w:tc>
          <w:tcPr>
            <w:tcW w:w="2937" w:type="dxa"/>
          </w:tcPr>
          <w:p w14:paraId="43BAACA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153738" w:rsidRDefault="007B0E13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</w:t>
            </w:r>
            <w:r w:rsidR="00207AAE" w:rsidRPr="00207AAE">
              <w:rPr>
                <w:rFonts w:ascii="Arial" w:hAnsi="Arial" w:cs="Arial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153738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>
              <w:rPr>
                <w:rFonts w:ascii="Arial" w:hAnsi="Arial" w:cs="Arial"/>
                <w:sz w:val="18"/>
                <w:szCs w:val="20"/>
              </w:rPr>
              <w:t>)</w:t>
            </w:r>
            <w:r w:rsidRPr="00207A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600A529B" w14:textId="77777777" w:rsidR="00207AAE" w:rsidRPr="00207AAE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Udostępniane upoważnionym użytkownikom dane o uczniach i nauczycielach.</w:t>
            </w:r>
          </w:p>
          <w:p w14:paraId="37781807" w14:textId="070FF0CF" w:rsidR="00C6751B" w:rsidRPr="00153738" w:rsidRDefault="00207AAE" w:rsidP="00207AAE">
            <w:pPr>
              <w:rPr>
                <w:rFonts w:ascii="Arial" w:hAnsi="Arial" w:cs="Arial"/>
                <w:sz w:val="18"/>
                <w:szCs w:val="20"/>
              </w:rPr>
            </w:pPr>
            <w:r w:rsidRPr="00207AAE">
              <w:rPr>
                <w:rFonts w:ascii="Arial" w:hAnsi="Arial" w:cs="Arial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1225FF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25FF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225FF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225FF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225FF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1225FF" w14:paraId="50A66C72" w14:textId="77777777" w:rsidTr="00FC1E51">
        <w:tc>
          <w:tcPr>
            <w:tcW w:w="2547" w:type="dxa"/>
          </w:tcPr>
          <w:p w14:paraId="20B36869" w14:textId="314BDE3F" w:rsidR="00A86449" w:rsidRPr="001225FF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EE0D01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1225FF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1225FF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1225FF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1AD08279" w:rsidR="00153738" w:rsidRPr="001225FF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 Informacji Oświatowej</w:t>
            </w:r>
            <w:r w:rsidR="00406036" w:rsidRPr="001225FF">
              <w:rPr>
                <w:rFonts w:ascii="Arial" w:hAnsi="Arial" w:cs="Arial"/>
                <w:sz w:val="18"/>
                <w:szCs w:val="18"/>
              </w:rPr>
              <w:t xml:space="preserve"> – system mod</w:t>
            </w:r>
            <w:r w:rsidR="00691438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>
              <w:rPr>
                <w:rFonts w:ascii="Arial" w:hAnsi="Arial" w:cs="Arial"/>
                <w:sz w:val="18"/>
                <w:szCs w:val="18"/>
              </w:rPr>
              <w:t>KSDO.</w:t>
            </w:r>
          </w:p>
          <w:p w14:paraId="6FC9E6FC" w14:textId="7A0C42E6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SIOEPKZ - </w:t>
            </w:r>
            <w:r w:rsidRPr="001225FF">
              <w:rPr>
                <w:rFonts w:ascii="Arial" w:hAnsi="Arial" w:cs="Arial"/>
                <w:sz w:val="18"/>
                <w:szCs w:val="18"/>
              </w:rPr>
              <w:t>Potwierdzającego Kwalifikacje w Zawodzie 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39FB3864" w14:textId="6E534A75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1225FF">
              <w:t xml:space="preserve"> </w:t>
            </w:r>
            <w:r w:rsidRPr="001225FF">
              <w:rPr>
                <w:rFonts w:ascii="Arial" w:hAnsi="Arial" w:cs="Arial"/>
                <w:sz w:val="18"/>
                <w:szCs w:val="18"/>
              </w:rPr>
              <w:t>– system istniejący; udostępnienie us</w:t>
            </w:r>
            <w:r>
              <w:rPr>
                <w:rFonts w:ascii="Arial" w:hAnsi="Arial" w:cs="Arial"/>
                <w:sz w:val="18"/>
                <w:szCs w:val="18"/>
              </w:rPr>
              <w:t>ług autoryzacji do szyny danych.</w:t>
            </w:r>
          </w:p>
          <w:p w14:paraId="4F6CD351" w14:textId="0D294419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EWD/PWE – systemy istniejące; udostępnienie usł</w:t>
            </w:r>
            <w:r>
              <w:rPr>
                <w:rFonts w:ascii="Arial" w:hAnsi="Arial" w:cs="Arial"/>
                <w:sz w:val="18"/>
                <w:szCs w:val="18"/>
              </w:rPr>
              <w:t>ug autoryzacji do szyny danych.</w:t>
            </w:r>
          </w:p>
          <w:p w14:paraId="75AF2EB0" w14:textId="1CF3A7CA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</w:t>
            </w:r>
            <w:r>
              <w:rPr>
                <w:rFonts w:ascii="Arial" w:hAnsi="Arial" w:cs="Arial"/>
                <w:sz w:val="18"/>
                <w:szCs w:val="18"/>
              </w:rPr>
              <w:t xml:space="preserve">przez zastępowanie </w:t>
            </w:r>
            <w:r w:rsidRPr="00162DED">
              <w:rPr>
                <w:rFonts w:ascii="Arial" w:hAnsi="Arial" w:cs="Arial"/>
                <w:sz w:val="18"/>
                <w:szCs w:val="18"/>
              </w:rPr>
              <w:t>jego funkcjonalności przez system SIO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162DED">
              <w:rPr>
                <w:rFonts w:ascii="Arial" w:hAnsi="Arial" w:cs="Arial"/>
                <w:sz w:val="18"/>
                <w:szCs w:val="18"/>
              </w:rPr>
              <w:t xml:space="preserve"> jak i udostępniony interfejs przez KSDO_SIOSD dla syste</w:t>
            </w:r>
            <w:r>
              <w:rPr>
                <w:rFonts w:ascii="Arial" w:hAnsi="Arial" w:cs="Arial"/>
                <w:sz w:val="18"/>
                <w:szCs w:val="18"/>
              </w:rPr>
              <w:t>mów uczelni w</w:t>
            </w:r>
            <w:r w:rsidRPr="00162DED">
              <w:rPr>
                <w:rFonts w:ascii="Arial" w:hAnsi="Arial" w:cs="Arial"/>
                <w:sz w:val="18"/>
                <w:szCs w:val="18"/>
              </w:rPr>
              <w:t>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BBD8B66" w14:textId="77777777" w:rsidR="00406036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225FF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</w:p>
          <w:p w14:paraId="6FAD24C1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162DED">
              <w:rPr>
                <w:rFonts w:ascii="Arial" w:hAnsi="Arial" w:cs="Arial"/>
                <w:sz w:val="18"/>
                <w:szCs w:val="18"/>
              </w:rPr>
              <w:t xml:space="preserve">Systemy OKE /egz. z </w:t>
            </w:r>
            <w:r>
              <w:rPr>
                <w:rFonts w:ascii="Arial" w:hAnsi="Arial" w:cs="Arial"/>
                <w:sz w:val="18"/>
                <w:szCs w:val="18"/>
              </w:rPr>
              <w:t xml:space="preserve">potwierdzenia </w:t>
            </w:r>
            <w:r w:rsidRPr="00162DED">
              <w:rPr>
                <w:rFonts w:ascii="Arial" w:hAnsi="Arial" w:cs="Arial"/>
                <w:sz w:val="18"/>
                <w:szCs w:val="18"/>
              </w:rPr>
              <w:t>kwalifikacji</w:t>
            </w:r>
            <w:r>
              <w:rPr>
                <w:rFonts w:ascii="Arial" w:hAnsi="Arial" w:cs="Arial"/>
                <w:sz w:val="18"/>
                <w:szCs w:val="18"/>
              </w:rPr>
              <w:t xml:space="preserve"> w zawodzie;  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069F5FF" w14:textId="77777777" w:rsidR="00162DED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u</w:t>
            </w:r>
            <w:r w:rsidRPr="00162DED">
              <w:rPr>
                <w:rFonts w:ascii="Arial" w:hAnsi="Arial" w:cs="Arial"/>
                <w:sz w:val="18"/>
                <w:szCs w:val="18"/>
              </w:rPr>
              <w:t>czelni wyższych do rekrutacji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43CDFE6D" w14:textId="57458098" w:rsidR="00162DED" w:rsidRPr="001225FF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162DED">
              <w:rPr>
                <w:rFonts w:ascii="Arial" w:hAnsi="Arial" w:cs="Arial"/>
                <w:sz w:val="18"/>
                <w:szCs w:val="18"/>
              </w:rPr>
              <w:t>dostępnienie usług autoryzacji do szyny danych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5C0F1DEA" w:rsidR="00BB059E" w:rsidRPr="00384CB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84CB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84CB9">
        <w:rPr>
          <w:rFonts w:ascii="Arial" w:hAnsi="Arial" w:cs="Arial"/>
        </w:rPr>
        <w:t xml:space="preserve"> </w:t>
      </w:r>
      <w:r w:rsidR="00B41415" w:rsidRPr="00384CB9">
        <w:rPr>
          <w:rFonts w:ascii="Arial" w:hAnsi="Arial" w:cs="Arial"/>
        </w:rPr>
        <w:t xml:space="preserve"> </w:t>
      </w:r>
      <w:r w:rsidR="00DA34DF" w:rsidRPr="00384CB9">
        <w:rPr>
          <w:rFonts w:ascii="Arial" w:hAnsi="Arial" w:cs="Arial"/>
          <w:sz w:val="20"/>
          <w:szCs w:val="20"/>
        </w:rPr>
        <w:t>&lt;</w:t>
      </w:r>
      <w:r w:rsidR="00B41415" w:rsidRPr="00384CB9">
        <w:rPr>
          <w:rFonts w:ascii="Arial" w:hAnsi="Arial" w:cs="Arial"/>
          <w:sz w:val="20"/>
          <w:szCs w:val="20"/>
        </w:rPr>
        <w:t>maksymalnie 20</w:t>
      </w:r>
      <w:r w:rsidR="00DA34DF" w:rsidRPr="00384CB9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384CB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384CB9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384CB9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84CB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384CB9" w14:paraId="0FBAACCC" w14:textId="77777777" w:rsidTr="007B05F8">
        <w:tc>
          <w:tcPr>
            <w:tcW w:w="3153" w:type="dxa"/>
          </w:tcPr>
          <w:p w14:paraId="7CA4BFB7" w14:textId="5D40F5C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688" w:type="dxa"/>
          </w:tcPr>
          <w:p w14:paraId="575BB84E" w14:textId="20210A8A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4BA66AB" w14:textId="2E9E1BA9" w:rsidR="00D746E1" w:rsidRP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D746E1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77777777" w:rsidR="00D746E1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oświadczeniem o zamiarze wypowiedzenia umowy przez Partnera technologicznego, w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rozważana jest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Trwają rozmowy mające na celu zapobiegnięcie wypowiedzenia umowy przez Partnera technologicznego.</w:t>
            </w:r>
          </w:p>
          <w:p w14:paraId="2E01A243" w14:textId="1ED714F4" w:rsidR="0040164E" w:rsidRPr="005F2B91" w:rsidRDefault="008C748B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bookmarkStart w:id="1" w:name="_GoBack"/>
            <w:bookmarkEnd w:id="1"/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5C4F059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593D4C92" w14:textId="4AB692E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8BD6DEE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</w:t>
            </w:r>
            <w:r w:rsidRPr="005F2B91">
              <w:rPr>
                <w:rFonts w:ascii="Arial" w:hAnsi="Arial" w:cs="Arial"/>
                <w:sz w:val="18"/>
                <w:szCs w:val="20"/>
              </w:rPr>
              <w:lastRenderedPageBreak/>
              <w:t>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0CB70116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5273623B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1FFC802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72036090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29EF9844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związku z oświadczeniem o zamiarze wypowiedzenia 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>
              <w:rPr>
                <w:rFonts w:ascii="Arial" w:hAnsi="Arial" w:cs="Arial"/>
                <w:sz w:val="18"/>
                <w:szCs w:val="20"/>
              </w:rPr>
              <w:t>,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rozważana jest 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Trwają rozmowy mające na celu zapobiegnięcie wypowiedzenia umowy przez Partnera technologicznego.</w:t>
            </w:r>
          </w:p>
          <w:p w14:paraId="530CFE0B" w14:textId="34DB448A" w:rsidR="008C748B" w:rsidRPr="005F2B91" w:rsidRDefault="008C748B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Nastąpiła zmiana</w:t>
            </w:r>
            <w:r w:rsidRPr="0040164E">
              <w:rPr>
                <w:i/>
              </w:rPr>
              <w:t xml:space="preserve"> </w:t>
            </w:r>
            <w:r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>Bieżący monitoring planowanych zmian legislacyjnych. Bieżące monitorowanie przez departamenty merytoryczne MEN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>
              <w:rPr>
                <w:rFonts w:ascii="Arial" w:hAnsi="Arial" w:cs="Arial"/>
                <w:sz w:val="18"/>
                <w:szCs w:val="20"/>
              </w:rPr>
              <w:t>Nie nastąpiła zmiana w stosunku do poprzedniego okresu sprawozdawczego.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C5295B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C5295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C5295B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FC180" w14:textId="77777777" w:rsidR="006B2EC2" w:rsidRDefault="006B2EC2" w:rsidP="00BB2420">
      <w:pPr>
        <w:spacing w:after="0" w:line="240" w:lineRule="auto"/>
      </w:pPr>
      <w:r>
        <w:separator/>
      </w:r>
    </w:p>
  </w:endnote>
  <w:endnote w:type="continuationSeparator" w:id="0">
    <w:p w14:paraId="5449BD29" w14:textId="77777777" w:rsidR="006B2EC2" w:rsidRDefault="006B2EC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02D293E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C748B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95FD02" w14:textId="77777777" w:rsidR="006B2EC2" w:rsidRDefault="006B2EC2" w:rsidP="00BB2420">
      <w:pPr>
        <w:spacing w:after="0" w:line="240" w:lineRule="auto"/>
      </w:pPr>
      <w:r>
        <w:separator/>
      </w:r>
    </w:p>
  </w:footnote>
  <w:footnote w:type="continuationSeparator" w:id="0">
    <w:p w14:paraId="1CC725A2" w14:textId="77777777" w:rsidR="006B2EC2" w:rsidRDefault="006B2EC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FF"/>
    <w:rsid w:val="00006E59"/>
    <w:rsid w:val="00014DE2"/>
    <w:rsid w:val="00043DD9"/>
    <w:rsid w:val="00044D68"/>
    <w:rsid w:val="00047D9D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22388"/>
    <w:rsid w:val="001225FF"/>
    <w:rsid w:val="00124C3D"/>
    <w:rsid w:val="00141A92"/>
    <w:rsid w:val="00145E84"/>
    <w:rsid w:val="0015102C"/>
    <w:rsid w:val="00153738"/>
    <w:rsid w:val="00162DED"/>
    <w:rsid w:val="00176FBB"/>
    <w:rsid w:val="00181C96"/>
    <w:rsid w:val="00181E97"/>
    <w:rsid w:val="00182A08"/>
    <w:rsid w:val="00185F32"/>
    <w:rsid w:val="001A2EF2"/>
    <w:rsid w:val="001C2D74"/>
    <w:rsid w:val="001C7FAC"/>
    <w:rsid w:val="001D24A2"/>
    <w:rsid w:val="001E0CAC"/>
    <w:rsid w:val="001E16A3"/>
    <w:rsid w:val="001E1DEA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93D64"/>
    <w:rsid w:val="002955DA"/>
    <w:rsid w:val="002A3C02"/>
    <w:rsid w:val="002A5452"/>
    <w:rsid w:val="002A5DEF"/>
    <w:rsid w:val="002B37ED"/>
    <w:rsid w:val="002B4889"/>
    <w:rsid w:val="002B50C0"/>
    <w:rsid w:val="002B6F21"/>
    <w:rsid w:val="002D3D4A"/>
    <w:rsid w:val="002D7ADA"/>
    <w:rsid w:val="002E5459"/>
    <w:rsid w:val="002F2A84"/>
    <w:rsid w:val="002F336E"/>
    <w:rsid w:val="002F4FAB"/>
    <w:rsid w:val="002F654B"/>
    <w:rsid w:val="0030196F"/>
    <w:rsid w:val="00302775"/>
    <w:rsid w:val="00304D04"/>
    <w:rsid w:val="00310D8E"/>
    <w:rsid w:val="003221F2"/>
    <w:rsid w:val="00322614"/>
    <w:rsid w:val="00334A2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5B7A"/>
    <w:rsid w:val="003C4627"/>
    <w:rsid w:val="003C7325"/>
    <w:rsid w:val="003D06FA"/>
    <w:rsid w:val="003D4325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3A26"/>
    <w:rsid w:val="00425046"/>
    <w:rsid w:val="004350B8"/>
    <w:rsid w:val="004357BB"/>
    <w:rsid w:val="00444AAB"/>
    <w:rsid w:val="00450089"/>
    <w:rsid w:val="00466D33"/>
    <w:rsid w:val="00477226"/>
    <w:rsid w:val="004977AD"/>
    <w:rsid w:val="004B0527"/>
    <w:rsid w:val="004C174F"/>
    <w:rsid w:val="004C1D48"/>
    <w:rsid w:val="004D65CA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32D6"/>
    <w:rsid w:val="005439E4"/>
    <w:rsid w:val="00544DFE"/>
    <w:rsid w:val="005558FE"/>
    <w:rsid w:val="005560DE"/>
    <w:rsid w:val="00564509"/>
    <w:rsid w:val="00565761"/>
    <w:rsid w:val="005734CE"/>
    <w:rsid w:val="00586664"/>
    <w:rsid w:val="00593290"/>
    <w:rsid w:val="005935F1"/>
    <w:rsid w:val="005A12F7"/>
    <w:rsid w:val="005A1B30"/>
    <w:rsid w:val="005B0EB4"/>
    <w:rsid w:val="005B14A6"/>
    <w:rsid w:val="005B1A32"/>
    <w:rsid w:val="005C0469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54AA"/>
    <w:rsid w:val="00617FB8"/>
    <w:rsid w:val="0062054D"/>
    <w:rsid w:val="00630E67"/>
    <w:rsid w:val="006334BF"/>
    <w:rsid w:val="00635A54"/>
    <w:rsid w:val="00646807"/>
    <w:rsid w:val="00661A62"/>
    <w:rsid w:val="006731D9"/>
    <w:rsid w:val="006762C8"/>
    <w:rsid w:val="006822BC"/>
    <w:rsid w:val="00691438"/>
    <w:rsid w:val="006A60AA"/>
    <w:rsid w:val="006B034F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70163E"/>
    <w:rsid w:val="00701800"/>
    <w:rsid w:val="00703348"/>
    <w:rsid w:val="007112CC"/>
    <w:rsid w:val="00725708"/>
    <w:rsid w:val="00737BCA"/>
    <w:rsid w:val="00740027"/>
    <w:rsid w:val="00740A47"/>
    <w:rsid w:val="00742BCF"/>
    <w:rsid w:val="00746ABD"/>
    <w:rsid w:val="00767CE9"/>
    <w:rsid w:val="00771055"/>
    <w:rsid w:val="00772D30"/>
    <w:rsid w:val="0077418F"/>
    <w:rsid w:val="00775C44"/>
    <w:rsid w:val="007924CE"/>
    <w:rsid w:val="00794922"/>
    <w:rsid w:val="00795AFA"/>
    <w:rsid w:val="007A0ED4"/>
    <w:rsid w:val="007A4742"/>
    <w:rsid w:val="007A69A4"/>
    <w:rsid w:val="007B0251"/>
    <w:rsid w:val="007B05F8"/>
    <w:rsid w:val="007B0E13"/>
    <w:rsid w:val="007B3704"/>
    <w:rsid w:val="007B753D"/>
    <w:rsid w:val="007C22D3"/>
    <w:rsid w:val="007C2F7E"/>
    <w:rsid w:val="007C6235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105C0"/>
    <w:rsid w:val="00830B70"/>
    <w:rsid w:val="00837C0B"/>
    <w:rsid w:val="00840749"/>
    <w:rsid w:val="008549DB"/>
    <w:rsid w:val="0085781D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56F2"/>
    <w:rsid w:val="009265D2"/>
    <w:rsid w:val="00933BEC"/>
    <w:rsid w:val="00936729"/>
    <w:rsid w:val="00941E9E"/>
    <w:rsid w:val="0095183B"/>
    <w:rsid w:val="00952126"/>
    <w:rsid w:val="00952617"/>
    <w:rsid w:val="00961816"/>
    <w:rsid w:val="009663A6"/>
    <w:rsid w:val="00971A40"/>
    <w:rsid w:val="00976434"/>
    <w:rsid w:val="00992EA3"/>
    <w:rsid w:val="009967CA"/>
    <w:rsid w:val="009A17FF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51638"/>
    <w:rsid w:val="00A56D63"/>
    <w:rsid w:val="00A67685"/>
    <w:rsid w:val="00A71ACE"/>
    <w:rsid w:val="00A728AE"/>
    <w:rsid w:val="00A733A1"/>
    <w:rsid w:val="00A804AE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641E"/>
    <w:rsid w:val="00AC6269"/>
    <w:rsid w:val="00AC7878"/>
    <w:rsid w:val="00AC7E26"/>
    <w:rsid w:val="00AD45BB"/>
    <w:rsid w:val="00AE1643"/>
    <w:rsid w:val="00AE19CC"/>
    <w:rsid w:val="00AE333B"/>
    <w:rsid w:val="00AE3A6C"/>
    <w:rsid w:val="00AF09B8"/>
    <w:rsid w:val="00AF24FD"/>
    <w:rsid w:val="00AF567D"/>
    <w:rsid w:val="00B113CA"/>
    <w:rsid w:val="00B16C8B"/>
    <w:rsid w:val="00B17709"/>
    <w:rsid w:val="00B213FF"/>
    <w:rsid w:val="00B25C1A"/>
    <w:rsid w:val="00B41415"/>
    <w:rsid w:val="00B440C3"/>
    <w:rsid w:val="00B501BE"/>
    <w:rsid w:val="00B50560"/>
    <w:rsid w:val="00B64B3C"/>
    <w:rsid w:val="00B673C6"/>
    <w:rsid w:val="00B74859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E2A11"/>
    <w:rsid w:val="00BE47CD"/>
    <w:rsid w:val="00BE5BF9"/>
    <w:rsid w:val="00BF1F57"/>
    <w:rsid w:val="00BF274F"/>
    <w:rsid w:val="00C03E81"/>
    <w:rsid w:val="00C1106C"/>
    <w:rsid w:val="00C26361"/>
    <w:rsid w:val="00C302F1"/>
    <w:rsid w:val="00C33479"/>
    <w:rsid w:val="00C3655F"/>
    <w:rsid w:val="00C42AEA"/>
    <w:rsid w:val="00C43A88"/>
    <w:rsid w:val="00C57985"/>
    <w:rsid w:val="00C651E7"/>
    <w:rsid w:val="00C6751B"/>
    <w:rsid w:val="00C7000D"/>
    <w:rsid w:val="00C87840"/>
    <w:rsid w:val="00CA4DA5"/>
    <w:rsid w:val="00CA516B"/>
    <w:rsid w:val="00CB2B54"/>
    <w:rsid w:val="00CC113D"/>
    <w:rsid w:val="00CC7E21"/>
    <w:rsid w:val="00CD1739"/>
    <w:rsid w:val="00CD1D3C"/>
    <w:rsid w:val="00CE1D6C"/>
    <w:rsid w:val="00CE74F9"/>
    <w:rsid w:val="00CE7777"/>
    <w:rsid w:val="00CF10F4"/>
    <w:rsid w:val="00CF2E64"/>
    <w:rsid w:val="00CF5F20"/>
    <w:rsid w:val="00CF68D8"/>
    <w:rsid w:val="00D17C02"/>
    <w:rsid w:val="00D25CFE"/>
    <w:rsid w:val="00D42ECE"/>
    <w:rsid w:val="00D4607F"/>
    <w:rsid w:val="00D57025"/>
    <w:rsid w:val="00D57765"/>
    <w:rsid w:val="00D67D8F"/>
    <w:rsid w:val="00D746E1"/>
    <w:rsid w:val="00D749E6"/>
    <w:rsid w:val="00D77F50"/>
    <w:rsid w:val="00D857D7"/>
    <w:rsid w:val="00D859F4"/>
    <w:rsid w:val="00D85A52"/>
    <w:rsid w:val="00D86FEC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E0076D"/>
    <w:rsid w:val="00E106A3"/>
    <w:rsid w:val="00E11B44"/>
    <w:rsid w:val="00E1306A"/>
    <w:rsid w:val="00E15DEB"/>
    <w:rsid w:val="00E1688D"/>
    <w:rsid w:val="00E203EB"/>
    <w:rsid w:val="00E275F9"/>
    <w:rsid w:val="00E32FD7"/>
    <w:rsid w:val="00E35401"/>
    <w:rsid w:val="00E375DB"/>
    <w:rsid w:val="00E42938"/>
    <w:rsid w:val="00E43B4D"/>
    <w:rsid w:val="00E47508"/>
    <w:rsid w:val="00E55EB0"/>
    <w:rsid w:val="00E57BB7"/>
    <w:rsid w:val="00E61CB0"/>
    <w:rsid w:val="00E71256"/>
    <w:rsid w:val="00E71BCF"/>
    <w:rsid w:val="00E800A6"/>
    <w:rsid w:val="00E81D7C"/>
    <w:rsid w:val="00E83FA4"/>
    <w:rsid w:val="00E86020"/>
    <w:rsid w:val="00E95E16"/>
    <w:rsid w:val="00EA0B4F"/>
    <w:rsid w:val="00EA1B2E"/>
    <w:rsid w:val="00EA309B"/>
    <w:rsid w:val="00EA384C"/>
    <w:rsid w:val="00EA4D6A"/>
    <w:rsid w:val="00EC2AFC"/>
    <w:rsid w:val="00ED189B"/>
    <w:rsid w:val="00EE0D01"/>
    <w:rsid w:val="00F138F7"/>
    <w:rsid w:val="00F2008A"/>
    <w:rsid w:val="00F21D9E"/>
    <w:rsid w:val="00F229CF"/>
    <w:rsid w:val="00F25348"/>
    <w:rsid w:val="00F37ADF"/>
    <w:rsid w:val="00F45506"/>
    <w:rsid w:val="00F5651A"/>
    <w:rsid w:val="00F60062"/>
    <w:rsid w:val="00F613CC"/>
    <w:rsid w:val="00F76777"/>
    <w:rsid w:val="00F80F77"/>
    <w:rsid w:val="00F83F2F"/>
    <w:rsid w:val="00F86555"/>
    <w:rsid w:val="00F978F4"/>
    <w:rsid w:val="00FC04F6"/>
    <w:rsid w:val="00FC1E51"/>
    <w:rsid w:val="00FC3B03"/>
    <w:rsid w:val="00FC5552"/>
    <w:rsid w:val="00FF03A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03F7F-DA22-4519-AA14-E34CF02C6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2051</Words>
  <Characters>12310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2020-01-21T09:40:00Z</dcterms:created>
  <dcterms:modified xsi:type="dcterms:W3CDTF">2020-01-21T09:54:00Z</dcterms:modified>
</cp:coreProperties>
</file>